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广州中医药大学第一附属医院白云医院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治未病管理系统项目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报价单</w:t>
      </w:r>
    </w:p>
    <w:p/>
    <w:tbl>
      <w:tblPr>
        <w:tblStyle w:val="7"/>
        <w:tblpPr w:leftFromText="180" w:rightFromText="180" w:vertAnchor="page" w:horzAnchor="page" w:tblpXSpec="center" w:tblpY="2718"/>
        <w:tblW w:w="108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783"/>
        <w:gridCol w:w="2871"/>
        <w:gridCol w:w="3654"/>
        <w:gridCol w:w="29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36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名   称</w:t>
            </w:r>
          </w:p>
        </w:tc>
        <w:tc>
          <w:tcPr>
            <w:tcW w:w="3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服务内容及需求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  <w:jc w:val="center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3654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广州中医药大学第一附属医院白云医院</w:t>
            </w:r>
            <w:r>
              <w:rPr>
                <w:rFonts w:hint="eastAsia" w:ascii="宋体" w:hAnsi="宋体" w:eastAsia="宋体" w:cs="宋体"/>
              </w:rPr>
              <w:t>治未病管理系统项目</w:t>
            </w:r>
          </w:p>
        </w:tc>
        <w:tc>
          <w:tcPr>
            <w:tcW w:w="3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具体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需求</w:t>
            </w:r>
            <w:r>
              <w:rPr>
                <w:rFonts w:hint="eastAsia" w:ascii="宋体" w:hAnsi="宋体" w:eastAsia="宋体" w:cs="宋体"/>
              </w:rPr>
              <w:t>请参照治未病管理系统</w:t>
            </w:r>
            <w:r>
              <w:rPr>
                <w:rFonts w:hint="eastAsia" w:ascii="宋体" w:hAnsi="宋体" w:eastAsia="宋体" w:cs="宋体"/>
                <w:lang w:eastAsia="zh-CN"/>
              </w:rPr>
              <w:t>需求</w:t>
            </w:r>
            <w:r>
              <w:rPr>
                <w:rFonts w:hint="eastAsia" w:ascii="宋体" w:hAnsi="宋体" w:eastAsia="宋体" w:cs="宋体"/>
              </w:rPr>
              <w:t>清单</w:t>
            </w:r>
          </w:p>
        </w:tc>
        <w:tc>
          <w:tcPr>
            <w:tcW w:w="2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报价合计</w:t>
            </w:r>
          </w:p>
        </w:tc>
        <w:tc>
          <w:tcPr>
            <w:tcW w:w="94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人民币（大写）: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eastAsia="宋体" w:cs="宋体"/>
              </w:rPr>
              <w:t>元整 　　　　￥：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10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　　报价单位（公章）：                 　　　　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10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　　　   　联系人：                　　　　　　　　 　　　　联系方式：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备注：请有意向的供应商，自公告之日于202</w:t>
      </w: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cs="宋体"/>
          <w:lang w:val="en-US" w:eastAsia="zh-CN"/>
        </w:rPr>
        <w:t>27</w:t>
      </w:r>
      <w:r>
        <w:rPr>
          <w:rFonts w:hint="eastAsia" w:ascii="宋体" w:hAnsi="宋体" w:eastAsia="宋体" w:cs="宋体"/>
        </w:rPr>
        <w:t>日1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</w:rPr>
        <w:t>：</w:t>
      </w:r>
      <w:r>
        <w:rPr>
          <w:rFonts w:hint="eastAsia" w:ascii="宋体" w:hAnsi="宋体" w:cs="宋体"/>
          <w:lang w:val="en-US" w:eastAsia="zh-CN"/>
        </w:rPr>
        <w:t>3</w:t>
      </w:r>
      <w:bookmarkStart w:id="3" w:name="_GoBack"/>
      <w:bookmarkEnd w:id="3"/>
      <w:r>
        <w:rPr>
          <w:rFonts w:hint="eastAsia" w:ascii="宋体" w:hAnsi="宋体" w:eastAsia="宋体" w:cs="宋体"/>
        </w:rPr>
        <w:t>0前按</w:t>
      </w:r>
      <w:r>
        <w:rPr>
          <w:rFonts w:hint="eastAsia" w:ascii="宋体" w:hAnsi="宋体" w:eastAsia="宋体" w:cs="宋体"/>
          <w:lang w:val="en-US" w:eastAsia="zh-CN"/>
        </w:rPr>
        <w:t>响应</w:t>
      </w:r>
      <w:r>
        <w:rPr>
          <w:rFonts w:hint="eastAsia" w:ascii="宋体" w:hAnsi="宋体" w:eastAsia="宋体" w:cs="宋体"/>
        </w:rPr>
        <w:t>资质</w:t>
      </w:r>
      <w:r>
        <w:rPr>
          <w:rFonts w:hint="eastAsia" w:ascii="宋体" w:hAnsi="宋体" w:eastAsia="宋体" w:cs="宋体"/>
          <w:highlight w:val="none"/>
        </w:rPr>
        <w:t>要求</w:t>
      </w:r>
      <w:r>
        <w:rPr>
          <w:rFonts w:hint="eastAsia" w:ascii="宋体" w:hAnsi="宋体" w:cs="宋体"/>
          <w:highlight w:val="none"/>
          <w:lang w:val="en-US" w:eastAsia="zh-CN"/>
        </w:rPr>
        <w:t>现场提交资料，项目报价单盖好公章并做好密封。</w:t>
      </w:r>
      <w:r>
        <w:rPr>
          <w:rFonts w:hint="eastAsia" w:ascii="宋体" w:hAnsi="宋体" w:eastAsia="宋体" w:cs="宋体"/>
          <w:highlight w:val="none"/>
        </w:rPr>
        <w:t> </w:t>
      </w:r>
      <w:r>
        <w:rPr>
          <w:rFonts w:hint="eastAsia" w:ascii="宋体" w:hAnsi="宋体" w:eastAsia="宋体" w:cs="宋体"/>
        </w:rPr>
        <w:t>注：报名材料需设置封面页及目录页，封面页内容包括项目名称、相应人名称、项目联系人姓名及手机号码。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供应商资格要求：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投标人必须符合《政府采购法》第二十二条规定的条件：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投标人必须是中华人民共和国境内的独立法人企业或其他组织。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2、投标人有效证件：营业执照副本、组织机构代码证副本（如有）、国税和地税税务登记证副本或三证合一的营业执照副本、法定代表人(或负责人)身份证。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投标人响应参数需求应具体、明确，含糊不清、不确切或伪造、变造证明材料的，构成提供虚假材料的，移送监管部门查处。投标人必须承诺提供厂商原装、全新的、符合国家及用户提出的有关质量标准的设备，所提供商品必需要满足</w:t>
      </w:r>
      <w:r>
        <w:rPr>
          <w:rFonts w:hint="eastAsia" w:ascii="宋体" w:hAnsi="宋体" w:eastAsia="宋体" w:cs="宋体"/>
          <w:lang w:val="en-US" w:eastAsia="zh-CN"/>
        </w:rPr>
        <w:t>需求</w:t>
      </w:r>
      <w:r>
        <w:rPr>
          <w:rFonts w:hint="eastAsia" w:ascii="宋体" w:hAnsi="宋体" w:eastAsia="宋体" w:cs="宋体"/>
        </w:rPr>
        <w:t>文件中有关参数。</w:t>
      </w:r>
    </w:p>
    <w:p/>
    <w:p/>
    <w:p/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广州中医药大学第一附属医院白云医院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治未病管理系统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需求清单</w:t>
      </w:r>
    </w:p>
    <w:p>
      <w:pPr>
        <w:rPr>
          <w:rFonts w:hint="eastAsia"/>
          <w:lang w:eastAsia="zh-CN"/>
        </w:rPr>
      </w:pPr>
    </w:p>
    <w:p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一、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内容一览表</w:t>
      </w:r>
    </w:p>
    <w:tbl>
      <w:tblPr>
        <w:tblStyle w:val="7"/>
        <w:tblpPr w:leftFromText="180" w:rightFromText="180" w:vertAnchor="text" w:horzAnchor="margin" w:tblpX="-303" w:tblpY="152"/>
        <w:tblW w:w="99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485"/>
        <w:gridCol w:w="1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76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  <w:t>序号</w:t>
            </w:r>
          </w:p>
        </w:tc>
        <w:tc>
          <w:tcPr>
            <w:tcW w:w="74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  <w:t>内容</w:t>
            </w:r>
          </w:p>
        </w:tc>
        <w:tc>
          <w:tcPr>
            <w:tcW w:w="166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65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  <w:t>1</w:t>
            </w:r>
          </w:p>
        </w:tc>
        <w:tc>
          <w:tcPr>
            <w:tcW w:w="7485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  <w:t>治未病管理系统</w:t>
            </w:r>
          </w:p>
        </w:tc>
        <w:tc>
          <w:tcPr>
            <w:tcW w:w="1662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  <w:t>1套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  <w:lang w:eastAsia="zh-CN"/>
        </w:rPr>
      </w:pPr>
      <w:bookmarkStart w:id="0" w:name="_Toc3583"/>
      <w:bookmarkStart w:id="1" w:name="_Toc23396"/>
      <w:bookmarkStart w:id="2" w:name="_Toc285612596"/>
    </w:p>
    <w:p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项目总体要求</w:t>
      </w:r>
      <w:bookmarkEnd w:id="0"/>
      <w:bookmarkEnd w:id="1"/>
    </w:p>
    <w:p>
      <w:pPr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8"/>
        <w:tblW w:w="10080" w:type="dxa"/>
        <w:tblInd w:w="-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200"/>
        <w:gridCol w:w="8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  <w:t>要求</w:t>
            </w:r>
          </w:p>
        </w:tc>
        <w:tc>
          <w:tcPr>
            <w:tcW w:w="8130" w:type="dxa"/>
            <w:noWrap w:val="0"/>
            <w:vAlign w:val="bottom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  <w:t>具体内容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  <w:t>1</w:t>
            </w:r>
          </w:p>
        </w:tc>
        <w:tc>
          <w:tcPr>
            <w:tcW w:w="12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  <w:t>工期</w:t>
            </w:r>
          </w:p>
        </w:tc>
        <w:tc>
          <w:tcPr>
            <w:tcW w:w="8130" w:type="dxa"/>
            <w:noWrap w:val="0"/>
            <w:vAlign w:val="bottom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签订合同后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1年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内完成。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  <w:t>2</w:t>
            </w:r>
          </w:p>
        </w:tc>
        <w:tc>
          <w:tcPr>
            <w:tcW w:w="12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  <w:t>售后服务</w:t>
            </w:r>
          </w:p>
        </w:tc>
        <w:tc>
          <w:tcPr>
            <w:tcW w:w="8130" w:type="dxa"/>
            <w:noWrap w:val="0"/>
            <w:vAlign w:val="bottom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自验收合格日起至少提供为期1年的原厂免费售后服务，质保期内系统免费升级。对于技术故障，工程师在2小时内提供电话指导或通过远程维护解决，如仍无法解决，需在1个工作日内到现场解决。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  <w:t>3</w:t>
            </w:r>
          </w:p>
        </w:tc>
        <w:tc>
          <w:tcPr>
            <w:tcW w:w="12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s-AR"/>
              </w:rPr>
              <w:t>培训</w:t>
            </w:r>
          </w:p>
        </w:tc>
        <w:tc>
          <w:tcPr>
            <w:tcW w:w="8130" w:type="dxa"/>
            <w:noWrap w:val="0"/>
            <w:vAlign w:val="bottom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免费对我院临床使用人员及系统管理人员进行软件使用与维护培训，并安排专职培训讲师对临床科研人员进行培训，培训次数根据医院实际需求进行。</w:t>
            </w:r>
          </w:p>
        </w:tc>
      </w:tr>
      <w:bookmarkEnd w:id="2"/>
    </w:tbl>
    <w:p>
      <w:pPr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三、需求清单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功能模块清单</w:t>
      </w:r>
    </w:p>
    <w:tbl>
      <w:tblPr>
        <w:tblStyle w:val="8"/>
        <w:tblW w:w="85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5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系统名称</w:t>
            </w:r>
          </w:p>
        </w:tc>
        <w:tc>
          <w:tcPr>
            <w:tcW w:w="5721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功能模块名称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治未病管理系统</w:t>
            </w:r>
          </w:p>
        </w:tc>
        <w:tc>
          <w:tcPr>
            <w:tcW w:w="5721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档案管理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21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个人工作台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21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就诊查询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21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体质评估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21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健康评估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21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健康指导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21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健康干预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21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健康宣教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21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健康随访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21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中医知识库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21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危急值管理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21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统计分析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21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管理中心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721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居民移动端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page"/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功能需求描述</w:t>
      </w:r>
    </w:p>
    <w:tbl>
      <w:tblPr>
        <w:tblStyle w:val="8"/>
        <w:tblW w:w="88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5"/>
        <w:gridCol w:w="7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8803" w:type="dxa"/>
            <w:gridSpan w:val="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治未病管理系统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49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功能模块</w:t>
            </w:r>
          </w:p>
        </w:tc>
        <w:tc>
          <w:tcPr>
            <w:tcW w:w="7308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需求描述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9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档案管理</w:t>
            </w: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具备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档案查询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居民档案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0-6岁儿童档案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女性档案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老年人档案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重点关注人群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家庭档案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活动档案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档案审核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档案回收站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功能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▲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档案标签管理：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能够针对居民档案进行标签管理，档案标签管理包括：亚健康人群、病前状态人群、慢病人群、特殊人群、体质偏颇人群；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支持档案多条件查询，如：姓名、性别、证件类型、建档时间段、出生日期、标签等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针对单一患者能查看详细管理的操作时间和历史疾病标签。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支持对查询的档案进行基础信息导出到EXCEL表；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支持对档案信息进行编辑、删除、批量调整责任医生或管理机构等操作；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支持对档案信息进行新增、编辑、删除、批量移交等操作；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支持对家庭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成员档案的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绑定，新增，移除等操作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495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个人工作台</w:t>
            </w: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综合就诊台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支持基于挂号信息或档案信息实现体质评估、健康评估、中医指导、中医干预、健康宣教、转诊申请、会诊申请等操作；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/2、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支持查看患者历史就诊数据，如：历史就诊记录、门诊病历、住院病历、检验检查、影像、设备报告、处方记录、治疗记录等；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49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随访任务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支持查看全部随访任务、最近7天、15天、30天的随访任务；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支持对随访任务进行快速处理、标记等功能；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49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危机预警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支持对居民的体征预警信息进行处理，支持批量操作；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/2、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支持从预警记录中针对某个患者进行监控，如调整预警指标等；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495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工作量统计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支持个人日常工作量的统计；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支持个人管辖居民档案的统计分析；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49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就诊查询</w:t>
            </w: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支持对接HIS同步患者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就诊记录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门诊病历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住院病历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检验检查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影像报告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处方记录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治疗记录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设备报告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等数据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支持对历史记录进行多条件查询，如：开具时间、就诊科室、就诊医生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设备检测时间等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支持主动推送或被动同步数据，支持系统人为操作手动同步数据；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49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体质评估</w:t>
            </w: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中医体质辨识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具备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中医体质评估量表常规人群，中医体质评估量表老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人群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新增评估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ab/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支持基于挂号信息或档案信息实现快速建立评估；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支持自动根据性别、年龄等条件自动分配评估量表；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评估记录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ab/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支持根据时间段、进行历史记录的查询；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支持查看量表的作答状态及作答结果；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4、评估报告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支持查看历史评估报告查询；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支持评估报告的编辑、审核、发布功能；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支持报告可选推送至居民微信小程序端进行查看；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5、量表推送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支持根据就诊记录和档案信息、标签分类等条件进行单个患者或批量选择患者推送体质评估量表；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支持在推送量表时指定评估量表或根据性别、年龄等条件自动分配量表；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6、推送记录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支持对推送记录进行查询；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支持对推送的未作答的居民进行二次提醒作答；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49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健康评估</w:t>
            </w: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新增评估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支持基于挂号信息或档案信息实现快速建立评估；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支持单个量表或组合量表的评估；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评估记录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支持对指导记录进行多条件查询；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支持查看指导记录的阅读状态、可以依据阅读状态进行二次提醒；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3、评估报告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支持查看历史评估报告查询；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支持评估报告的编辑、审核、发布功能；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支持报告可选推送至居民微信小程序端进行查看；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▲综合报告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支持对同一个人的多份不同的评估报告进行合并为一份综合性报告；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支持对合并后的报告进行总评；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量表推送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支持根据就诊记录和档案信息、标签分类等条件进行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单个患者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或批量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选择患者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推送体质评估量表；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支持在推送量表时指定评估量表或量表组合（支持多选）；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常规疾病风险评估量表：吸烟饮酒、饮食调查、运动调查、心理评估量表、高血压疾病信息、抑郁症评估量表、匹茨堡睡眠质量指数量表、失眠严重程度指数；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中医评估量表：中医体质评估量表常规人群，中医体质评估量表老年人群。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▲慢病风险评估量表：糖尿病知晓度调查表、生活质量评估表、Morisky服药依从量表(内分泌)、Morisky服药依从量表等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老年人风险评估量表：自理能力评估量表。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推送记录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支持对推送记录进行多条件查询；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支持对推送的未作答的居民进行二次提醒作答；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▲量表配置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支持定制量表和动态量表两种配置模式；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支持对量表进行启动/禁用；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支持对量表进行分类管理及维护（新增、编辑、删除）；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支持对量表进行组合管理及维护（新增、编辑、删除）；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49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健康指导</w:t>
            </w: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新增指导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支持基于挂号信息或档案信息实现快速创建指导；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支持系统自动匹配知识库进行快速调用；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指导记录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支持对指导记录进行多条件查询；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支持查看指导记录的阅读状态、可以依据阅读状态进行二次提醒；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计划制定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支持进行指导计划的制定，支持针对单个人或多人进行计划的制定、指导内容的预编辑等；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支持对计划配置执行日期，执行方式（自动发送、到期提醒）等模式；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计划执行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查看已经制定的计划，并对未进行的计划进行调整或快速执行等操作；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支持撤销未执行的指导计划；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模板维护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支持公开的模板、科室模板、个人模板进行查询；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支持对他人公开模板进行快速复制创建个人模板的功能；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49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健康干预</w:t>
            </w: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新增干预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支持基于挂号信息或档案信息实现快速创建干预；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支持系统自动匹配知识库进行快速调用；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支持医护人员调用自行维护的模板消息；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干预记录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支持对干预记录进行多条件查询；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支持查看干预记录的阅读状态、可以依据阅读状态进行二次提醒；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计划制定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支持进行干预计划的制定，支持针对单个人或多人进行计划的制定、干预方案的预编辑等；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支持对计划配置执行日期，执行方式（自动发送、到期提醒）等模式；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计划执行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查看已经制定的计划，并对未进行的计划进行调整或快速执行等操作；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支持撤销未执行的干预计划；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模板维护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支持公开的模板、科室模板、个人模板进行查询；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支持对他人公开模板进行快速复制创建个人模板的功能；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支持个人模板的新增、编辑、删除操作；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49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健康宣教</w:t>
            </w: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新增宣教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支持基于挂号信息或档案信息实现快速创建宣教；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支持系统自动匹配知识库进行快速调用；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支持医护人员调用自行维护的模板消息；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宣教记录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支持对宣教记录进行多条件查询；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支持查看宣教记录的阅读状态、可以依据阅读状态进行二次提醒；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计划制定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支持进行宣教计划的制定，支持针对单个人或多人进行计划的制定、宣教内容的预编辑等；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支持对计划配置执行日期，执行方式（自动发送、到期提醒）等模式；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计划执行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查看已经制定的计划，并对未进行的计划进行调整或快速执行等操作；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支持撤销未执行的干预计划；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模板维护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支持公开的模板、科室模板、个人模板进行查询；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支持对他人公开模板进行快速复制创建个人模板的功能；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支持个人模板的新增、编辑、删除操作；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49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健康随访</w:t>
            </w: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随访任务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支持查看全部随访任务、最近7天、15天、30天的随访任务；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支持对随访任务进行快速处理、标记等功能；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随访新增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支持基于挂号信息或档案信息实现快速创建随访任务；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支持随访模板的自定义选择；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随访记录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支持对随访记录进行多条件查询；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支持对随访结果进行查看；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随访制定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支持进行随访计划的制定，支持针对单个人或多人进行计划的制定、随访内容的预编辑等；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支持对计划配置执行日期，提醒方式等进行自定义选择；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规则配置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支持对随访规则进行配置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支持基于不同的类型（如：诊后、干预制定后等）及条件自动触发任务创建；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49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中医知识库</w:t>
            </w: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系统知识库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系统知识库分为：中医体质库、中医指导库、中医干预库、中医宣教库、疾病知识库等；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支持对系统知识库文章进行快速复制创建自定义知识库文章；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▲自定义知识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库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支持自定义知识库进行分类（无极模式）；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支持对自定义知识库文章进行新增、编辑、删除、复制等操作；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49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危急值管理</w:t>
            </w: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▲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危急值数据管理，能对部分体征数据进行危急值管理，并传递给监护人和医护人员；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2.能自定义危急值数据内容，能维护管理危急值联系人信息。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49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统计分析</w:t>
            </w: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▲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档案数据统计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支持统计患者档案的数量，男女占比，时间段，区域分布等，并支持以柱状图，折线图等多种模式展示数据，且能够针对统计结果的图标进行多种格式（jpg\png\pdf\svg）下载保存；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疾病种类统计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能够基于病种以及时间（年、月、日）统计患者档案；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医护工作量统计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能够统计医生的随访工作量（随访方式、随访时间等）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中医体质辨识统计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能够根据机构及时间（年、月、日）进行患者体质统计;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居民标签统计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能够根据机构及时间（年、月、日）进行中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西医标签统计;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49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管理中心</w:t>
            </w: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具备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系统设置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机构管理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角色管理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系统用户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管理，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定时任务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，授权管理，服务接口，权限栏目，参数配置，数据字典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等功能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495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移动端</w:t>
            </w:r>
          </w:p>
        </w:tc>
        <w:tc>
          <w:tcPr>
            <w:tcW w:w="7308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综合页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包含轮播图（不限图片数量）、功能快捷入口、宣教信息、体征信息等；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体质评估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支持查看到完成的评估、已完成的评估；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支持对评估记录进行多条件查询；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支持查看体质评估报告（需后台推送后才能进行查看）；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健康评估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支持查看到完成的评估、已完成的评估；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支持对评估记录进行多条件查询；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支持查看评估报告和综合报告（需后台推送后才能进行查看）；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指导记录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支持查看已经发布的指导记录，可根据状态进行分类查询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5、干预记录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支持查看已经发布的干预记录，可根据状态进行分类查询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宣教记录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支持查看已经发布的宣教记录，可根据状态进行分类查询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中医档案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支持维护自己的档案信息，包括基本信息、疾病史、既往史、生活环境等；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支持查看档案信息审核记录；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8、▲医患在线沟通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支持在线与医护人员进行及时沟通；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支持查看医护人员头像、简介、擅长等信息；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支持查看历史沟通记录；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个人信息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支持维护个人基本信息，如：头像、昵称等；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支持登录密码修改或直接重置；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269E25"/>
    <w:multiLevelType w:val="multilevel"/>
    <w:tmpl w:val="02269E25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yMTM0OWRiZTlkOWU0NTJkMmRlMTMzOTFhZTRmMTEifQ=="/>
  </w:docVars>
  <w:rsids>
    <w:rsidRoot w:val="00000000"/>
    <w:rsid w:val="05452235"/>
    <w:rsid w:val="24A84BC8"/>
    <w:rsid w:val="28F448C5"/>
    <w:rsid w:val="2DEA5E5C"/>
    <w:rsid w:val="300C03D3"/>
    <w:rsid w:val="397133DB"/>
    <w:rsid w:val="3A9931F9"/>
    <w:rsid w:val="472E4190"/>
    <w:rsid w:val="47CF2B21"/>
    <w:rsid w:val="48DA6CCC"/>
    <w:rsid w:val="6C532E62"/>
    <w:rsid w:val="6E124F01"/>
    <w:rsid w:val="706A30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line="576" w:lineRule="auto"/>
      <w:outlineLvl w:val="0"/>
    </w:pPr>
    <w:rPr>
      <w:rFonts w:ascii="宋体" w:hAnsi="宋体"/>
      <w:b/>
      <w:bCs/>
      <w:kern w:val="44"/>
      <w:sz w:val="28"/>
      <w:szCs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413" w:lineRule="auto"/>
      <w:outlineLvl w:val="2"/>
    </w:pPr>
    <w:rPr>
      <w:b/>
      <w:sz w:val="32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unhideWhenUsed/>
    <w:qFormat/>
    <w:uiPriority w:val="99"/>
    <w:rPr>
      <w:rFonts w:ascii="Times New Roman" w:hAnsi="Times New Roman"/>
      <w:sz w:val="24"/>
      <w:szCs w:val="20"/>
    </w:rPr>
  </w:style>
  <w:style w:type="table" w:styleId="8">
    <w:name w:val="Table Grid"/>
    <w:basedOn w:val="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A0836</dc:creator>
  <cp:lastModifiedBy>BJJ</cp:lastModifiedBy>
  <dcterms:modified xsi:type="dcterms:W3CDTF">2024-03-21T07:02:00Z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6B3B36291CD341FB9F45F897B33F4C2D_13</vt:lpwstr>
  </property>
</Properties>
</file>